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"/>
        <w:gridCol w:w="337"/>
        <w:gridCol w:w="538"/>
        <w:gridCol w:w="1260"/>
        <w:gridCol w:w="537"/>
        <w:gridCol w:w="635"/>
        <w:gridCol w:w="1710"/>
        <w:gridCol w:w="238"/>
        <w:gridCol w:w="570"/>
        <w:gridCol w:w="360"/>
        <w:gridCol w:w="812"/>
        <w:gridCol w:w="1255"/>
        <w:gridCol w:w="725"/>
        <w:gridCol w:w="2070"/>
        <w:gridCol w:w="203"/>
      </w:tblGrid>
      <w:tr w:rsidR="00F07F78" w:rsidRPr="002501FE" w14:paraId="47595BEC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341"/>
          <w:jc w:val="center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D086E" w14:textId="77777777" w:rsidR="00F07F78" w:rsidRPr="002501FE" w:rsidRDefault="00AE6894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AE6894">
              <w:rPr>
                <w:rFonts w:ascii="Arial Black" w:hAnsi="Arial Black" w:cs="Arial"/>
                <w:sz w:val="22"/>
                <w:szCs w:val="22"/>
              </w:rPr>
              <w:t xml:space="preserve">Regional Services </w:t>
            </w:r>
            <w:r w:rsidR="007A27E1">
              <w:rPr>
                <w:rFonts w:ascii="Arial Black" w:hAnsi="Arial Black" w:cs="Arial"/>
                <w:sz w:val="22"/>
                <w:szCs w:val="22"/>
              </w:rPr>
              <w:t xml:space="preserve">Coordinator </w:t>
            </w:r>
          </w:p>
        </w:tc>
      </w:tr>
      <w:tr w:rsidR="008A6528" w:rsidRPr="002501FE" w14:paraId="39E89F8C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230"/>
          <w:jc w:val="center"/>
        </w:trPr>
        <w:tc>
          <w:tcPr>
            <w:tcW w:w="2672" w:type="dxa"/>
            <w:gridSpan w:val="4"/>
          </w:tcPr>
          <w:p w14:paraId="4A283F3B" w14:textId="77777777" w:rsidR="008A6528" w:rsidRPr="002501FE" w:rsidRDefault="008A6528" w:rsidP="00D271C1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>Job Code:</w:t>
            </w:r>
            <w:r w:rsidR="00E958CD">
              <w:rPr>
                <w:rFonts w:ascii="Arial" w:hAnsi="Arial" w:cs="Arial"/>
                <w:b/>
                <w:bCs/>
                <w:sz w:val="18"/>
              </w:rPr>
              <w:t xml:space="preserve"> 360003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583" w:type="dxa"/>
            <w:gridSpan w:val="3"/>
          </w:tcPr>
          <w:p w14:paraId="050E93C1" w14:textId="77777777" w:rsidR="008A6528" w:rsidRPr="002501FE" w:rsidRDefault="008A6528" w:rsidP="00D271C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B056F0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1B46F402" w14:textId="571494FA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655A5C">
              <w:rPr>
                <w:rFonts w:ascii="Arial" w:hAnsi="Arial" w:cs="Arial"/>
                <w:b/>
                <w:bCs/>
                <w:sz w:val="18"/>
              </w:rPr>
              <w:t>K. Garrod</w:t>
            </w:r>
          </w:p>
        </w:tc>
        <w:tc>
          <w:tcPr>
            <w:tcW w:w="2998" w:type="dxa"/>
            <w:gridSpan w:val="3"/>
            <w:tcBorders>
              <w:left w:val="nil"/>
              <w:bottom w:val="single" w:sz="4" w:space="0" w:color="auto"/>
            </w:tcBorders>
          </w:tcPr>
          <w:p w14:paraId="0C0BC09B" w14:textId="3F425636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55A5C">
              <w:rPr>
                <w:rFonts w:ascii="Arial" w:hAnsi="Arial" w:cs="Arial"/>
                <w:b/>
                <w:bCs/>
                <w:sz w:val="18"/>
              </w:rPr>
              <w:t>December 2023</w:t>
            </w:r>
          </w:p>
        </w:tc>
      </w:tr>
      <w:tr w:rsidR="008A6528" w:rsidRPr="002501FE" w14:paraId="451CCBF0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305"/>
          <w:jc w:val="center"/>
        </w:trPr>
        <w:tc>
          <w:tcPr>
            <w:tcW w:w="5255" w:type="dxa"/>
            <w:gridSpan w:val="7"/>
          </w:tcPr>
          <w:p w14:paraId="2C3DA244" w14:textId="77777777" w:rsidR="007A27E1" w:rsidRPr="002501FE" w:rsidRDefault="008A6528" w:rsidP="007A27E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E958CD">
              <w:rPr>
                <w:rFonts w:ascii="Arial" w:hAnsi="Arial" w:cs="Arial"/>
                <w:b/>
                <w:bCs/>
                <w:sz w:val="18"/>
              </w:rPr>
              <w:t>:</w:t>
            </w:r>
            <w:r w:rsidR="00E837A7">
              <w:rPr>
                <w:rFonts w:ascii="Arial" w:hAnsi="Arial" w:cs="Arial"/>
                <w:b/>
                <w:bCs/>
                <w:sz w:val="18"/>
              </w:rPr>
              <w:t xml:space="preserve"> Ambulatory</w:t>
            </w:r>
            <w:r w:rsidR="00E958CD">
              <w:rPr>
                <w:rFonts w:ascii="Arial" w:hAnsi="Arial" w:cs="Arial"/>
                <w:b/>
                <w:bCs/>
                <w:sz w:val="18"/>
              </w:rPr>
              <w:t xml:space="preserve"> Regional Services</w:t>
            </w:r>
            <w:r w:rsidR="0013093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5386CD77" w14:textId="77777777" w:rsidR="008A6528" w:rsidRPr="002501FE" w:rsidRDefault="008A6528" w:rsidP="006372A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758521FF" w14:textId="49735411" w:rsidR="008A6528" w:rsidRPr="002501FE" w:rsidRDefault="008A6528" w:rsidP="00D271C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655A5C">
              <w:rPr>
                <w:rFonts w:ascii="Arial" w:hAnsi="Arial" w:cs="Arial"/>
                <w:b/>
                <w:bCs/>
                <w:sz w:val="18"/>
              </w:rPr>
              <w:t>M. Grayson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36B1" w14:textId="4800C8A3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E958C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55A5C">
              <w:rPr>
                <w:rFonts w:ascii="Arial" w:hAnsi="Arial" w:cs="Arial"/>
                <w:b/>
                <w:bCs/>
                <w:sz w:val="18"/>
              </w:rPr>
              <w:t>December 2023</w:t>
            </w:r>
          </w:p>
        </w:tc>
      </w:tr>
      <w:tr w:rsidR="008C6631" w:rsidRPr="002501FE" w14:paraId="35CB8865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jc w:val="center"/>
        </w:trPr>
        <w:tc>
          <w:tcPr>
            <w:tcW w:w="11250" w:type="dxa"/>
            <w:gridSpan w:val="14"/>
            <w:shd w:val="clear" w:color="auto" w:fill="D9D9D9"/>
          </w:tcPr>
          <w:p w14:paraId="7CC89365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6158673F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737"/>
          <w:jc w:val="center"/>
        </w:trPr>
        <w:tc>
          <w:tcPr>
            <w:tcW w:w="11250" w:type="dxa"/>
            <w:gridSpan w:val="14"/>
          </w:tcPr>
          <w:p w14:paraId="5C3C6A86" w14:textId="77777777" w:rsidR="00FC15BA" w:rsidRDefault="0024062E" w:rsidP="0024062E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Under the direction of the UW Health Ambulatory Regional Services leadership, the Regional Services Coordinator will provide support and expertise in the area</w:t>
            </w:r>
            <w:r w:rsidR="00E958CD">
              <w:rPr>
                <w:rFonts w:ascii="Calibri" w:hAnsi="Calibri" w:cs="Calibri"/>
                <w:sz w:val="22"/>
                <w:szCs w:val="22"/>
              </w:rPr>
              <w:t>s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of communication, planning</w:t>
            </w:r>
            <w:r w:rsidR="00E958CD">
              <w:rPr>
                <w:rFonts w:ascii="Calibri" w:hAnsi="Calibri" w:cs="Calibri"/>
                <w:sz w:val="22"/>
                <w:szCs w:val="22"/>
              </w:rPr>
              <w:t>,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and monitoring of data and metrics specific to regional adult and pediatric specialty clinic performance in alignment with applicable UW Health Ambulatory Service Standards. This role works collaboratively and cross</w:t>
            </w:r>
            <w:r w:rsidR="00E958CD">
              <w:rPr>
                <w:rFonts w:ascii="Calibri" w:hAnsi="Calibri" w:cs="Calibri"/>
                <w:sz w:val="22"/>
                <w:szCs w:val="22"/>
              </w:rPr>
              <w:t>-</w:t>
            </w:r>
            <w:r w:rsidRPr="004C422E">
              <w:rPr>
                <w:rFonts w:ascii="Calibri" w:hAnsi="Calibri" w:cs="Calibri"/>
                <w:sz w:val="22"/>
                <w:szCs w:val="22"/>
              </w:rPr>
              <w:t>functionally with regional system senior and operational leaders as well as UW Health ambulatory regional operations leaders to execute strategies</w:t>
            </w:r>
            <w:r w:rsidR="00FC15BA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evaluate, implement</w:t>
            </w:r>
            <w:r w:rsidR="00FC15BA">
              <w:rPr>
                <w:rFonts w:ascii="Calibri" w:hAnsi="Calibri" w:cs="Calibri"/>
                <w:sz w:val="22"/>
                <w:szCs w:val="22"/>
              </w:rPr>
              <w:t>,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and maintain operational efficiencies of the adult and pediatric regional specialty clinic experience.  Contracted clinical services not only include on-site (office and outpatient) clinics, but also inpatient consults, remote read interpretations, medical directorships</w:t>
            </w:r>
            <w:r w:rsidR="00FC15BA">
              <w:rPr>
                <w:rFonts w:ascii="Calibri" w:hAnsi="Calibri" w:cs="Calibri"/>
                <w:sz w:val="22"/>
                <w:szCs w:val="22"/>
              </w:rPr>
              <w:t>,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and hospital-based programs to assist in keeping the right care local.</w:t>
            </w:r>
          </w:p>
          <w:p w14:paraId="14CF7CBC" w14:textId="77777777" w:rsidR="0024062E" w:rsidRPr="004C422E" w:rsidRDefault="0024062E" w:rsidP="0024062E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6F0FAE8" w14:textId="77777777" w:rsidR="008C6631" w:rsidRPr="004C422E" w:rsidRDefault="0024062E" w:rsidP="0024062E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This position uses critical thinking and problem-solving skills to identify and address opportunities for improvement while promoting engagement of stakeholders in solution development. This position incorporates improvement processes in daily work.</w:t>
            </w:r>
          </w:p>
          <w:p w14:paraId="15D6827B" w14:textId="77777777" w:rsidR="00DE706E" w:rsidRPr="002501FE" w:rsidRDefault="00DE706E" w:rsidP="0024062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508B65E2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350"/>
          <w:jc w:val="center"/>
        </w:trPr>
        <w:tc>
          <w:tcPr>
            <w:tcW w:w="11250" w:type="dxa"/>
            <w:gridSpan w:val="14"/>
            <w:shd w:val="clear" w:color="auto" w:fill="D9D9D9"/>
          </w:tcPr>
          <w:p w14:paraId="177DCF6E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0142AADD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1052"/>
          <w:jc w:val="center"/>
        </w:trPr>
        <w:tc>
          <w:tcPr>
            <w:tcW w:w="11250" w:type="dxa"/>
            <w:gridSpan w:val="14"/>
          </w:tcPr>
          <w:p w14:paraId="0ED06E6A" w14:textId="77777777" w:rsidR="0024062E" w:rsidRPr="0024062E" w:rsidRDefault="0024062E" w:rsidP="002406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Strategic Planning</w:t>
            </w:r>
          </w:p>
          <w:p w14:paraId="6D288DC8" w14:textId="147C4249" w:rsidR="0024062E" w:rsidRPr="00096A00" w:rsidRDefault="0024062E" w:rsidP="00096A00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096A00">
              <w:rPr>
                <w:rFonts w:ascii="Calibri" w:hAnsi="Calibri" w:cs="Calibri"/>
                <w:sz w:val="22"/>
                <w:szCs w:val="22"/>
              </w:rPr>
              <w:t>Implement and maintain all aspects of the operational details for new and existing regional services adult and pediatric specialty clinics</w:t>
            </w:r>
            <w:r w:rsidR="00FC15BA" w:rsidRPr="00096A00">
              <w:rPr>
                <w:rFonts w:ascii="Calibri" w:hAnsi="Calibri" w:cs="Calibri"/>
                <w:sz w:val="22"/>
                <w:szCs w:val="22"/>
              </w:rPr>
              <w:t>,</w:t>
            </w:r>
            <w:r w:rsidRPr="00096A00">
              <w:rPr>
                <w:rFonts w:ascii="Calibri" w:hAnsi="Calibri" w:cs="Calibri"/>
                <w:sz w:val="22"/>
                <w:szCs w:val="22"/>
              </w:rPr>
              <w:t xml:space="preserve"> including discontinuing a non-strategic or underperforming clinic</w:t>
            </w:r>
            <w:r w:rsidR="00FC15BA" w:rsidRPr="00096A00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096A00">
              <w:rPr>
                <w:rFonts w:ascii="Calibri" w:hAnsi="Calibri" w:cs="Calibri"/>
                <w:sz w:val="22"/>
                <w:szCs w:val="22"/>
              </w:rPr>
              <w:t xml:space="preserve"> provider changes at existing sites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D4111D" w14:textId="7E07AA48" w:rsidR="0024062E" w:rsidRPr="0024062E" w:rsidRDefault="0024062E" w:rsidP="0024062E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Work with ambulatory care Directors, Managers</w:t>
            </w:r>
            <w:r w:rsidR="00FC15BA">
              <w:rPr>
                <w:rFonts w:ascii="Calibri" w:hAnsi="Calibri" w:cs="Calibri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and others as the first point of contact regarding questions related to current clinic physician schedules</w:t>
            </w:r>
            <w:r w:rsidR="00FC15BA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technological and operational questions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DA16F43" w14:textId="071C7C1A" w:rsidR="0024062E" w:rsidRPr="0024062E" w:rsidRDefault="0024062E" w:rsidP="0024062E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Collaborate with internal and external sources to assist in developing and implementing the collection of specialty service site</w:t>
            </w:r>
            <w:r w:rsidR="00FC15BA">
              <w:rPr>
                <w:rFonts w:ascii="Calibri" w:hAnsi="Calibri" w:cs="Calibri"/>
                <w:sz w:val="22"/>
                <w:szCs w:val="22"/>
              </w:rPr>
              <w:t>-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specific data tracking tools (within </w:t>
            </w:r>
            <w:r w:rsidR="00096A00">
              <w:rPr>
                <w:rFonts w:ascii="Calibri" w:hAnsi="Calibri" w:cs="Calibri"/>
                <w:sz w:val="22"/>
                <w:szCs w:val="22"/>
              </w:rPr>
              <w:t>and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/or outside of </w:t>
            </w:r>
            <w:proofErr w:type="spellStart"/>
            <w:r w:rsidRPr="0024062E">
              <w:rPr>
                <w:rFonts w:ascii="Calibri" w:hAnsi="Calibri" w:cs="Calibri"/>
                <w:sz w:val="22"/>
                <w:szCs w:val="22"/>
              </w:rPr>
              <w:t>HealthLink</w:t>
            </w:r>
            <w:proofErr w:type="spellEnd"/>
            <w:r w:rsidRPr="0024062E">
              <w:rPr>
                <w:rFonts w:ascii="Calibri" w:hAnsi="Calibri" w:cs="Calibri"/>
                <w:sz w:val="22"/>
                <w:szCs w:val="22"/>
              </w:rPr>
              <w:t>)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361C22" w14:textId="6AD1B34E" w:rsidR="0024062E" w:rsidRPr="0024062E" w:rsidRDefault="0024062E" w:rsidP="0024062E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Assist with analytical review and forecasting to measure the success of the clinic operations, schedules</w:t>
            </w:r>
            <w:r w:rsidR="00FC15BA">
              <w:rPr>
                <w:rFonts w:ascii="Calibri" w:hAnsi="Calibri" w:cs="Calibri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and visit activity while identifying opportunities for site and service growth, development of action plans, and budget forecasting tool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7E20012" w14:textId="77777777" w:rsidR="0024062E" w:rsidRPr="0024062E" w:rsidRDefault="0024062E" w:rsidP="002406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298377" w14:textId="77777777" w:rsidR="0024062E" w:rsidRPr="0024062E" w:rsidRDefault="0024062E" w:rsidP="002406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Infrastructure Development</w:t>
            </w:r>
            <w:r w:rsidR="00FC15B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and</w:t>
            </w:r>
            <w:r w:rsidRPr="002406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Systems Design and Implementation</w:t>
            </w:r>
          </w:p>
          <w:p w14:paraId="67A5264C" w14:textId="09D8AA94" w:rsidR="0024062E" w:rsidRPr="0024062E" w:rsidRDefault="0024062E" w:rsidP="0024062E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Coordinate the sales, deployment, management, and market analysis of UW Health adult and pediatric regional specialty clinical services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BB290C" w14:textId="37854200" w:rsidR="0024062E" w:rsidRPr="0024062E" w:rsidRDefault="0024062E" w:rsidP="0024062E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Collaborate with UW Health legal counsel on the development of contractual terms</w:t>
            </w:r>
            <w:r w:rsidR="00FC15BA">
              <w:rPr>
                <w:rFonts w:ascii="Calibri" w:hAnsi="Calibri" w:cs="Calibri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including fair market value documentation</w:t>
            </w:r>
            <w:r w:rsidR="00FC15BA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space and staff lease components to support the clinic volumes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22795E" w14:textId="2CE3BAE2" w:rsidR="0024062E" w:rsidRDefault="0024062E" w:rsidP="0024062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Analyze market data (populations, managed care contracts, payor mix, and competitors</w:t>
            </w:r>
            <w:r w:rsidR="00096A00" w:rsidRPr="00096A00">
              <w:rPr>
                <w:rFonts w:ascii="Calibri" w:hAnsi="Calibri" w:cs="Calibri"/>
                <w:sz w:val="22"/>
                <w:szCs w:val="22"/>
              </w:rPr>
              <w:t>)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using a strategic analysis format (</w:t>
            </w:r>
            <w:proofErr w:type="gramStart"/>
            <w:r w:rsidRPr="0024062E">
              <w:rPr>
                <w:rFonts w:ascii="Calibri" w:hAnsi="Calibri" w:cs="Calibri"/>
                <w:sz w:val="22"/>
                <w:szCs w:val="22"/>
              </w:rPr>
              <w:t>i.e.</w:t>
            </w:r>
            <w:proofErr w:type="gramEnd"/>
            <w:r w:rsidRPr="0024062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24062E">
              <w:rPr>
                <w:rFonts w:ascii="Calibri" w:hAnsi="Calibri" w:cs="Calibri"/>
                <w:sz w:val="22"/>
                <w:szCs w:val="22"/>
              </w:rPr>
              <w:t>SBAR) to include recommendations for market entry</w:t>
            </w:r>
            <w:r w:rsidR="002A73F7">
              <w:rPr>
                <w:rFonts w:ascii="Calibri" w:hAnsi="Calibri" w:cs="Calibri"/>
                <w:sz w:val="22"/>
                <w:szCs w:val="22"/>
              </w:rPr>
              <w:t xml:space="preserve"> and exit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and defend strategies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96D3FB" w14:textId="77777777" w:rsidR="00FC15BA" w:rsidRPr="0024062E" w:rsidRDefault="00FC15BA" w:rsidP="00096A00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3E4F0CF0" w14:textId="77777777" w:rsidR="0024062E" w:rsidRPr="0024062E" w:rsidRDefault="0024062E" w:rsidP="002406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Project Management</w:t>
            </w:r>
          </w:p>
          <w:p w14:paraId="79B03B56" w14:textId="0BB9AFB1" w:rsidR="0024062E" w:rsidRPr="0024062E" w:rsidRDefault="0024062E" w:rsidP="0024062E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Oversee and maintain strategic market initiatives as identified via the strategic planning process and specialty care redesign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E13E83" w14:textId="6D95BFD0" w:rsidR="0024062E" w:rsidRPr="0024062E" w:rsidRDefault="0024062E" w:rsidP="0024062E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 xml:space="preserve">Utilize UW Health Way tools and principles to define and manage project scope, </w:t>
            </w:r>
            <w:proofErr w:type="gramStart"/>
            <w:r w:rsidRPr="0024062E">
              <w:rPr>
                <w:rFonts w:ascii="Calibri" w:hAnsi="Calibri" w:cs="Calibri"/>
                <w:sz w:val="22"/>
                <w:szCs w:val="22"/>
              </w:rPr>
              <w:t>document</w:t>
            </w:r>
            <w:proofErr w:type="gramEnd"/>
            <w:r w:rsidRPr="0024062E">
              <w:rPr>
                <w:rFonts w:ascii="Calibri" w:hAnsi="Calibri" w:cs="Calibri"/>
                <w:sz w:val="22"/>
                <w:szCs w:val="22"/>
              </w:rPr>
              <w:t xml:space="preserve"> and monitor timeliness and deliverables</w:t>
            </w:r>
            <w:r w:rsidR="002A73F7">
              <w:rPr>
                <w:rFonts w:ascii="Calibri" w:hAnsi="Calibri" w:cs="Calibri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sz w:val="22"/>
                <w:szCs w:val="22"/>
              </w:rPr>
              <w:t xml:space="preserve"> and resolve risks and barriers</w:t>
            </w:r>
            <w:r w:rsidR="00655A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428138F" w14:textId="77777777" w:rsidR="0024062E" w:rsidRPr="0024062E" w:rsidRDefault="0024062E" w:rsidP="0024062E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24062E">
              <w:rPr>
                <w:rFonts w:ascii="Calibri" w:hAnsi="Calibri" w:cs="Calibri"/>
                <w:sz w:val="22"/>
                <w:szCs w:val="22"/>
              </w:rPr>
              <w:t>Manage effective open communication with regional operational stakeholders using status reports and various sources tailored to the audience.</w:t>
            </w:r>
            <w:r w:rsidR="002A73F7" w:rsidRPr="0024062E" w:rsidDel="002A73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062E">
              <w:rPr>
                <w:rFonts w:ascii="Calibri" w:hAnsi="Calibri" w:cs="Calibri"/>
                <w:sz w:val="22"/>
                <w:szCs w:val="22"/>
              </w:rPr>
              <w:t>Lead planning sessions for new project work including definition of in scope versus out of scope</w:t>
            </w:r>
            <w:r w:rsidR="00096A0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6207A2" w14:textId="77777777" w:rsidR="00655A5C" w:rsidRPr="0024062E" w:rsidRDefault="00655A5C" w:rsidP="00655A5C">
            <w:pPr>
              <w:autoSpaceDE w:val="0"/>
              <w:autoSpaceDN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Facilitation </w:t>
            </w:r>
          </w:p>
          <w:p w14:paraId="19CB99EF" w14:textId="24EC7657" w:rsidR="00655A5C" w:rsidRPr="0024062E" w:rsidRDefault="00655A5C" w:rsidP="00655A5C">
            <w:pPr>
              <w:numPr>
                <w:ilvl w:val="0"/>
                <w:numId w:val="16"/>
              </w:numPr>
              <w:autoSpaceDE w:val="0"/>
              <w:autoSpaceDN w:val="0"/>
              <w:ind w:right="-1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Efficiently plan and facilitate meetings of varied participants using standard UW Health Way meeting management tools and techniques (agendas, meeting roles, ground rules, minutes, action item tracking, parking lot, etc.)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2DD35A0" w14:textId="1E84B11D" w:rsidR="00655A5C" w:rsidRPr="0024062E" w:rsidRDefault="00655A5C" w:rsidP="00655A5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Lead group discussions at various levels related to clinical performance and applicable Ambulatory Service Standards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B5EFFC2" w14:textId="638B6047" w:rsidR="00655A5C" w:rsidRPr="0024062E" w:rsidRDefault="00655A5C" w:rsidP="00655A5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Coordinate and facilitate complex decision-making processes with multiple stakeholders to reach consensus while ensuring contractual terms are aligned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6869E01" w14:textId="77777777" w:rsidR="00655A5C" w:rsidRPr="0024062E" w:rsidRDefault="00655A5C" w:rsidP="00655A5C">
            <w:pPr>
              <w:autoSpaceDE w:val="0"/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684ED3" w14:textId="77777777" w:rsidR="00655A5C" w:rsidRPr="0024062E" w:rsidRDefault="00655A5C" w:rsidP="00655A5C">
            <w:pPr>
              <w:autoSpaceDE w:val="0"/>
              <w:autoSpaceDN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Performance Improvement </w:t>
            </w:r>
          </w:p>
          <w:p w14:paraId="6DA4D2E9" w14:textId="74F96D37" w:rsidR="00655A5C" w:rsidRPr="0024062E" w:rsidRDefault="00655A5C" w:rsidP="00655A5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Format, interpret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distribute data to identified stakeholders using the UW Health Way tools on a routine basis and in alignment with contractual terms and conditions of participation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73C21D0" w14:textId="1FDFC6A0" w:rsidR="00655A5C" w:rsidRPr="0024062E" w:rsidRDefault="00655A5C" w:rsidP="00655A5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Measure progress toward UW Health strategic initiatives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8EA1B6E" w14:textId="77777777" w:rsidR="00655A5C" w:rsidRPr="0024062E" w:rsidRDefault="00655A5C" w:rsidP="00655A5C">
            <w:pPr>
              <w:autoSpaceDE w:val="0"/>
              <w:autoSpaceDN w:val="0"/>
              <w:ind w:left="7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82B0FE6" w14:textId="77777777" w:rsidR="00655A5C" w:rsidRPr="0024062E" w:rsidRDefault="00655A5C" w:rsidP="00655A5C">
            <w:pPr>
              <w:autoSpaceDE w:val="0"/>
              <w:autoSpaceDN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06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Continuous Learning and Personal Development </w:t>
            </w:r>
          </w:p>
          <w:p w14:paraId="470DA23A" w14:textId="66D3B47A" w:rsidR="00655A5C" w:rsidRPr="0024062E" w:rsidRDefault="00655A5C" w:rsidP="00655A5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Maintain current knowledge of trends and issues in health care and related fields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945D962" w14:textId="6911BE7C" w:rsidR="00655A5C" w:rsidRDefault="00655A5C" w:rsidP="00655A5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>Maintain current knowledge about organizational policies and procedures, governance structures, regulatory requirements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40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applicable technologies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B0FF3AB" w14:textId="68C598ED" w:rsidR="00722D28" w:rsidRPr="00655A5C" w:rsidRDefault="00655A5C" w:rsidP="00B056F0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5A5C">
              <w:rPr>
                <w:rFonts w:ascii="Calibri" w:hAnsi="Calibri" w:cs="Calibri"/>
                <w:color w:val="000000"/>
                <w:sz w:val="22"/>
                <w:szCs w:val="22"/>
              </w:rPr>
              <w:t>Continuously advance expertise in data/analytics competencies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E03E84D" w14:textId="77777777" w:rsidR="00F13C79" w:rsidRPr="00722D28" w:rsidRDefault="00F13C79" w:rsidP="00F13C7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  <w:p w14:paraId="66F38B24" w14:textId="77777777" w:rsidR="00E61257" w:rsidRDefault="00E61257" w:rsidP="00FF0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ockticker">
              <w:r w:rsidRPr="00722D28">
                <w:rPr>
                  <w:rFonts w:ascii="Arial" w:hAnsi="Arial" w:cs="Arial"/>
                  <w:b/>
                  <w:sz w:val="18"/>
                  <w:szCs w:val="18"/>
                </w:rPr>
                <w:t>ALL</w:t>
              </w:r>
            </w:smartTag>
            <w:r w:rsidRPr="00722D28">
              <w:rPr>
                <w:rFonts w:ascii="Arial" w:hAnsi="Arial" w:cs="Arial"/>
                <w:b/>
                <w:sz w:val="18"/>
                <w:szCs w:val="18"/>
              </w:rPr>
              <w:t xml:space="preserve"> DUTIES </w:t>
            </w:r>
            <w:smartTag w:uri="urn:schemas-microsoft-com:office:smarttags" w:element="stockticker">
              <w:r w:rsidRPr="00722D28">
                <w:rPr>
                  <w:rFonts w:ascii="Arial" w:hAnsi="Arial" w:cs="Arial"/>
                  <w:b/>
                  <w:sz w:val="18"/>
                  <w:szCs w:val="18"/>
                </w:rPr>
                <w:t>AND</w:t>
              </w:r>
            </w:smartTag>
            <w:r w:rsidRPr="00722D28">
              <w:rPr>
                <w:rFonts w:ascii="Arial" w:hAnsi="Arial" w:cs="Arial"/>
                <w:b/>
                <w:sz w:val="18"/>
                <w:szCs w:val="18"/>
              </w:rPr>
              <w:t xml:space="preserve"> REQUIREMENTS MUST BE PERFORMED CONSISTENT WITH THE </w:t>
            </w:r>
            <w:r w:rsidR="00FF0B87" w:rsidRPr="00722D28">
              <w:rPr>
                <w:rFonts w:ascii="Arial" w:hAnsi="Arial" w:cs="Arial"/>
                <w:b/>
                <w:sz w:val="18"/>
                <w:szCs w:val="18"/>
              </w:rPr>
              <w:t>UW HEALTH</w:t>
            </w:r>
            <w:r w:rsidRPr="00722D28">
              <w:rPr>
                <w:rFonts w:ascii="Arial" w:hAnsi="Arial" w:cs="Arial"/>
                <w:b/>
                <w:sz w:val="18"/>
                <w:szCs w:val="18"/>
              </w:rPr>
              <w:t xml:space="preserve"> PERFORMANCE STANDARDS</w:t>
            </w:r>
            <w:r w:rsidR="007C313F" w:rsidRPr="00722D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82DD49F" w14:textId="77777777" w:rsidR="009A4203" w:rsidRPr="00722D28" w:rsidRDefault="009A4203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4F7576A1" w14:textId="77777777" w:rsidTr="009A42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jc w:val="center"/>
        </w:trPr>
        <w:tc>
          <w:tcPr>
            <w:tcW w:w="11250" w:type="dxa"/>
            <w:gridSpan w:val="14"/>
            <w:tcBorders>
              <w:bottom w:val="single" w:sz="12" w:space="0" w:color="auto"/>
            </w:tcBorders>
            <w:shd w:val="clear" w:color="auto" w:fill="D9D9D9"/>
          </w:tcPr>
          <w:p w14:paraId="75A17E41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BA44ED" w:rsidRPr="005C6581" w14:paraId="328E81D0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54DCF9" w14:textId="77777777" w:rsidR="00BA44ED" w:rsidRPr="004C422E" w:rsidRDefault="00BA44ED" w:rsidP="00BA44ED">
            <w:pPr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AE182C" w14:textId="77777777" w:rsidR="00BA44ED" w:rsidRPr="004C422E" w:rsidRDefault="00BA44ED" w:rsidP="00BA44ED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Minimum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E2100D" w14:textId="77777777" w:rsidR="00BA44ED" w:rsidRPr="004C422E" w:rsidRDefault="008135BD" w:rsidP="009A4203">
            <w:pPr>
              <w:pStyle w:val="ListParagraph"/>
              <w:widowControl w:val="0"/>
              <w:ind w:left="7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F3091">
              <w:rPr>
                <w:rFonts w:ascii="Arial" w:hAnsi="Arial" w:cs="Arial"/>
                <w:sz w:val="20"/>
                <w:szCs w:val="20"/>
              </w:rPr>
              <w:t xml:space="preserve">Bachelor’s degree in </w:t>
            </w:r>
            <w:r w:rsidR="005540C8">
              <w:rPr>
                <w:rFonts w:ascii="Arial" w:hAnsi="Arial" w:cs="Arial"/>
                <w:sz w:val="20"/>
                <w:szCs w:val="20"/>
              </w:rPr>
              <w:t>B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>usiness</w:t>
            </w:r>
            <w:proofErr w:type="gramEnd"/>
            <w:r w:rsidRPr="00AF30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40C8">
              <w:rPr>
                <w:rFonts w:ascii="Arial" w:hAnsi="Arial" w:cs="Arial"/>
                <w:sz w:val="20"/>
                <w:szCs w:val="20"/>
              </w:rPr>
              <w:t>M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>arketing</w:t>
            </w:r>
            <w:r w:rsidRPr="00AF30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40C8">
              <w:rPr>
                <w:rFonts w:ascii="Arial" w:hAnsi="Arial" w:cs="Arial"/>
                <w:sz w:val="20"/>
                <w:szCs w:val="20"/>
              </w:rPr>
              <w:t>S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 w:rsidR="005540C8">
              <w:rPr>
                <w:rFonts w:ascii="Arial" w:hAnsi="Arial" w:cs="Arial"/>
                <w:sz w:val="20"/>
                <w:szCs w:val="20"/>
              </w:rPr>
              <w:t>W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>ork</w:t>
            </w:r>
            <w:r w:rsidR="005540C8">
              <w:rPr>
                <w:rFonts w:ascii="Arial" w:hAnsi="Arial" w:cs="Arial"/>
                <w:sz w:val="20"/>
                <w:szCs w:val="20"/>
              </w:rPr>
              <w:t>,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091">
              <w:rPr>
                <w:rFonts w:ascii="Arial" w:hAnsi="Arial" w:cs="Arial"/>
                <w:sz w:val="20"/>
                <w:szCs w:val="20"/>
              </w:rPr>
              <w:t>or a related field</w:t>
            </w:r>
            <w:r w:rsidR="005540C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40C8" w:rsidRPr="00AF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0C8">
              <w:rPr>
                <w:rFonts w:ascii="Arial" w:hAnsi="Arial" w:cs="Arial"/>
                <w:sz w:val="20"/>
                <w:szCs w:val="20"/>
              </w:rPr>
              <w:t xml:space="preserve">An equivalent combination of education and work experience will be considered in lieu of a </w:t>
            </w:r>
            <w:proofErr w:type="gramStart"/>
            <w:r w:rsidR="005540C8">
              <w:rPr>
                <w:rFonts w:ascii="Arial" w:hAnsi="Arial" w:cs="Arial"/>
                <w:sz w:val="20"/>
                <w:szCs w:val="20"/>
              </w:rPr>
              <w:t>Bachelor’s</w:t>
            </w:r>
            <w:proofErr w:type="gramEnd"/>
            <w:r w:rsidR="005540C8">
              <w:rPr>
                <w:rFonts w:ascii="Arial" w:hAnsi="Arial" w:cs="Arial"/>
                <w:sz w:val="20"/>
                <w:szCs w:val="20"/>
              </w:rPr>
              <w:t xml:space="preserve"> degree. </w:t>
            </w:r>
          </w:p>
        </w:tc>
      </w:tr>
      <w:tr w:rsidR="00BA44ED" w:rsidRPr="005C6581" w14:paraId="6373B987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2016E028" w14:textId="77777777" w:rsidR="00BA44ED" w:rsidRPr="004C422E" w:rsidRDefault="00BA44ED" w:rsidP="00BA44ED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8A21EF9" w14:textId="77777777" w:rsidR="00BA44ED" w:rsidRPr="004C422E" w:rsidRDefault="00BA44ED" w:rsidP="00BA44ED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Preferred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8AF206" w14:textId="77777777" w:rsidR="00BA44ED" w:rsidRPr="004C422E" w:rsidRDefault="00BA44ED" w:rsidP="008135BD">
            <w:pPr>
              <w:pStyle w:val="ListParagraph"/>
              <w:widowControl w:val="0"/>
              <w:ind w:left="4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500" w:rsidRPr="00681F15" w14:paraId="78F0E5A4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A158DE" w14:textId="77777777" w:rsidR="00A05500" w:rsidRPr="004C422E" w:rsidRDefault="00A05500" w:rsidP="00A05500">
            <w:pPr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Work Experience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DDB1AE8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Minimum 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A42375" w14:textId="77777777" w:rsidR="00A05500" w:rsidRPr="004C422E" w:rsidRDefault="008135BD" w:rsidP="009A4203">
            <w:pPr>
              <w:pStyle w:val="ListParagraph"/>
              <w:widowControl w:val="0"/>
              <w:ind w:left="77"/>
              <w:rPr>
                <w:rFonts w:ascii="Calibri" w:hAnsi="Calibri" w:cs="Calibri"/>
                <w:sz w:val="22"/>
                <w:szCs w:val="22"/>
              </w:rPr>
            </w:pPr>
            <w:r w:rsidRPr="00AF3091">
              <w:rPr>
                <w:rFonts w:ascii="Arial" w:hAnsi="Arial" w:cs="Arial"/>
                <w:sz w:val="20"/>
                <w:szCs w:val="20"/>
              </w:rPr>
              <w:t>Three</w:t>
            </w:r>
            <w:r w:rsidR="009A4203">
              <w:rPr>
                <w:rFonts w:ascii="Arial" w:hAnsi="Arial" w:cs="Arial"/>
                <w:sz w:val="20"/>
                <w:szCs w:val="20"/>
              </w:rPr>
              <w:t xml:space="preserve"> (3)</w:t>
            </w:r>
            <w:r w:rsidRPr="00AF3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Pr="00AF3091">
              <w:rPr>
                <w:rFonts w:ascii="Arial" w:hAnsi="Arial" w:cs="Arial"/>
                <w:sz w:val="20"/>
                <w:szCs w:val="20"/>
              </w:rPr>
              <w:t>of experience in a health care setting</w:t>
            </w:r>
            <w:r w:rsidR="009A4203">
              <w:rPr>
                <w:rFonts w:ascii="Arial" w:hAnsi="Arial" w:cs="Arial"/>
                <w:sz w:val="20"/>
                <w:szCs w:val="20"/>
              </w:rPr>
              <w:t xml:space="preserve"> including project management, relationship building, operations in an ambulatory environment, or executing legal agreements</w:t>
            </w:r>
          </w:p>
        </w:tc>
      </w:tr>
      <w:tr w:rsidR="00A05500" w:rsidRPr="005C6581" w14:paraId="17D7EAF0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4CA6AFE0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1B60269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Preferred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874E69" w14:textId="77777777" w:rsidR="00A05500" w:rsidRPr="004C422E" w:rsidRDefault="00A05500" w:rsidP="008135BD">
            <w:pPr>
              <w:pStyle w:val="ListParagraph"/>
              <w:widowControl w:val="0"/>
              <w:ind w:left="4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500" w:rsidRPr="005C6581" w14:paraId="3842946B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515CB607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Licenses &amp; Certifications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C01743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Minimum 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204954B0" w14:textId="65AA7940" w:rsidR="00A05500" w:rsidRPr="004C422E" w:rsidRDefault="00655A5C" w:rsidP="00655A5C">
            <w:pPr>
              <w:pStyle w:val="ListParagraph"/>
              <w:widowControl w:val="0"/>
              <w:ind w:left="77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55A5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A05500" w:rsidRPr="005C6581" w14:paraId="62BECB6C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6D44945A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FC2578" w14:textId="77777777" w:rsidR="00A05500" w:rsidRPr="004C422E" w:rsidRDefault="00A05500" w:rsidP="00A05500">
            <w:pPr>
              <w:pStyle w:val="Heading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C42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Preferred</w:t>
            </w:r>
          </w:p>
        </w:tc>
        <w:tc>
          <w:tcPr>
            <w:tcW w:w="77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63678A3" w14:textId="77777777" w:rsidR="00A05500" w:rsidRPr="004C422E" w:rsidRDefault="00A05500" w:rsidP="009A4203">
            <w:pPr>
              <w:pStyle w:val="ListParagraph"/>
              <w:widowControl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500" w:rsidRPr="00911F9A" w14:paraId="4448A0EA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762"/>
        </w:trPr>
        <w:tc>
          <w:tcPr>
            <w:tcW w:w="35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C8ECFA4" w14:textId="77777777" w:rsidR="00A05500" w:rsidRPr="004C422E" w:rsidRDefault="00A05500" w:rsidP="002A5DCA">
            <w:pPr>
              <w:pStyle w:val="ListParagraph"/>
              <w:widowControl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Required Skills, Knowledge, and Abilities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DC0A584" w14:textId="77777777" w:rsidR="008135BD" w:rsidRPr="004C422E" w:rsidRDefault="008135BD" w:rsidP="009A4203">
            <w:pPr>
              <w:pStyle w:val="NoSpacing"/>
              <w:numPr>
                <w:ilvl w:val="0"/>
                <w:numId w:val="23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 xml:space="preserve">Excellent oral and written communication skills, including grammar and </w:t>
            </w:r>
            <w:proofErr w:type="gramStart"/>
            <w:r w:rsidRPr="004C422E">
              <w:rPr>
                <w:rFonts w:ascii="Calibri" w:hAnsi="Calibri" w:cs="Calibri"/>
                <w:sz w:val="22"/>
                <w:szCs w:val="22"/>
              </w:rPr>
              <w:t>spelling</w:t>
            </w:r>
            <w:proofErr w:type="gramEnd"/>
          </w:p>
          <w:p w14:paraId="029A71C1" w14:textId="77777777" w:rsidR="008135BD" w:rsidRPr="004C422E" w:rsidRDefault="008135BD" w:rsidP="009A4203">
            <w:pPr>
              <w:pStyle w:val="NoSpacing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Health care background and experience highly desirable</w:t>
            </w:r>
          </w:p>
          <w:p w14:paraId="7A0AA073" w14:textId="77777777" w:rsidR="008135BD" w:rsidRPr="004C422E" w:rsidRDefault="008135BD" w:rsidP="009A4203">
            <w:pPr>
              <w:pStyle w:val="NoSpacing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Excellent prioritization and organizational skills</w:t>
            </w:r>
          </w:p>
          <w:p w14:paraId="04BA437C" w14:textId="77777777" w:rsidR="008135BD" w:rsidRPr="004C422E" w:rsidRDefault="008135BD" w:rsidP="009A4203">
            <w:pPr>
              <w:pStyle w:val="NoSpacing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Excellent interpersonal skills</w:t>
            </w:r>
          </w:p>
          <w:p w14:paraId="78BB9F38" w14:textId="77777777" w:rsidR="008135BD" w:rsidRPr="004C422E" w:rsidRDefault="008135BD" w:rsidP="009A4203">
            <w:pPr>
              <w:pStyle w:val="NoSpacing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 xml:space="preserve">Demonstrated ability to function both as a team member and as an independent service provider in a health care and administrative office </w:t>
            </w:r>
            <w:proofErr w:type="gramStart"/>
            <w:r w:rsidRPr="004C422E">
              <w:rPr>
                <w:rFonts w:ascii="Calibri" w:hAnsi="Calibri" w:cs="Calibri"/>
                <w:sz w:val="22"/>
                <w:szCs w:val="22"/>
              </w:rPr>
              <w:t>setting</w:t>
            </w:r>
            <w:proofErr w:type="gramEnd"/>
          </w:p>
          <w:p w14:paraId="50D829DE" w14:textId="77777777" w:rsidR="008135BD" w:rsidRPr="004C422E" w:rsidRDefault="008135BD" w:rsidP="009A4203">
            <w:pPr>
              <w:pStyle w:val="NoSpacing"/>
              <w:widowControl w:val="0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Professional demeanor</w:t>
            </w:r>
          </w:p>
          <w:p w14:paraId="0FCB13AD" w14:textId="77777777" w:rsidR="008135BD" w:rsidRPr="004C422E" w:rsidRDefault="008135BD" w:rsidP="009A4203">
            <w:pPr>
              <w:pStyle w:val="NoSpacing"/>
              <w:widowControl w:val="0"/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>Knowledge of word processing, spreadsheet, data base</w:t>
            </w:r>
            <w:r w:rsidR="005540C8">
              <w:rPr>
                <w:rFonts w:ascii="Calibri" w:hAnsi="Calibri" w:cs="Calibri"/>
                <w:sz w:val="22"/>
                <w:szCs w:val="22"/>
              </w:rPr>
              <w:t>,</w:t>
            </w:r>
            <w:r w:rsidRPr="004C422E">
              <w:rPr>
                <w:rFonts w:ascii="Calibri" w:hAnsi="Calibri" w:cs="Calibri"/>
                <w:sz w:val="22"/>
                <w:szCs w:val="22"/>
              </w:rPr>
              <w:t xml:space="preserve"> and presentation software applications</w:t>
            </w:r>
          </w:p>
          <w:p w14:paraId="7CBE8825" w14:textId="77777777" w:rsidR="00A05500" w:rsidRPr="004C422E" w:rsidRDefault="00A05500" w:rsidP="009A4203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4C422E">
              <w:rPr>
                <w:rFonts w:ascii="Calibri" w:hAnsi="Calibri" w:cs="Calibri"/>
                <w:sz w:val="22"/>
                <w:szCs w:val="22"/>
              </w:rPr>
              <w:t xml:space="preserve">Ability to work independently with minimal </w:t>
            </w:r>
            <w:proofErr w:type="gramStart"/>
            <w:r w:rsidRPr="004C422E">
              <w:rPr>
                <w:rFonts w:ascii="Calibri" w:hAnsi="Calibri" w:cs="Calibri"/>
                <w:sz w:val="22"/>
                <w:szCs w:val="22"/>
              </w:rPr>
              <w:t>oversight</w:t>
            </w:r>
            <w:proofErr w:type="gramEnd"/>
          </w:p>
          <w:p w14:paraId="3479EB67" w14:textId="77777777" w:rsidR="00A05500" w:rsidRPr="004C422E" w:rsidRDefault="00A05500" w:rsidP="008135BD">
            <w:pPr>
              <w:pStyle w:val="ListParagraph"/>
              <w:widowControl w:val="0"/>
              <w:ind w:left="4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500" w:rsidRPr="00F91C42" w14:paraId="723B6104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  <w:shd w:val="clear" w:color="auto" w:fill="D9D9D9"/>
          </w:tcPr>
          <w:p w14:paraId="31520A53" w14:textId="77777777" w:rsidR="00A05500" w:rsidRPr="00F55CC6" w:rsidRDefault="00A05500" w:rsidP="00A05500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3362D969" w14:textId="77777777" w:rsidR="00A05500" w:rsidRPr="00F91C42" w:rsidRDefault="00A05500" w:rsidP="00A0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A05500" w14:paraId="57E69559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</w:tcPr>
          <w:p w14:paraId="6B05C86B" w14:textId="77777777" w:rsidR="00A05500" w:rsidRDefault="00A05500" w:rsidP="00A05500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A05500" w14:paraId="38B5FB95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61"/>
        </w:trPr>
        <w:tc>
          <w:tcPr>
            <w:tcW w:w="1078" w:type="dxa"/>
            <w:gridSpan w:val="3"/>
          </w:tcPr>
          <w:p w14:paraId="43FC6780" w14:textId="77777777" w:rsidR="00A05500" w:rsidRPr="00811BA0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50" w:type="dxa"/>
            <w:gridSpan w:val="6"/>
          </w:tcPr>
          <w:p w14:paraId="451B701E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360" w:type="dxa"/>
            <w:shd w:val="clear" w:color="auto" w:fill="auto"/>
          </w:tcPr>
          <w:p w14:paraId="48A907D7" w14:textId="77777777" w:rsidR="00A05500" w:rsidRPr="0031305D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14:paraId="179E8DE3" w14:textId="77777777" w:rsidR="00A05500" w:rsidRDefault="00A05500" w:rsidP="00A05500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A05500" w14:paraId="18441CD6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1078" w:type="dxa"/>
            <w:gridSpan w:val="3"/>
          </w:tcPr>
          <w:p w14:paraId="38814CDC" w14:textId="77777777" w:rsidR="00A05500" w:rsidRPr="00811BA0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50" w:type="dxa"/>
            <w:gridSpan w:val="6"/>
          </w:tcPr>
          <w:p w14:paraId="536E6392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360" w:type="dxa"/>
            <w:shd w:val="clear" w:color="auto" w:fill="auto"/>
          </w:tcPr>
          <w:p w14:paraId="4CEEB519" w14:textId="77777777" w:rsidR="00A05500" w:rsidRPr="0031305D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14:paraId="7CA670D9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A05500" w14:paraId="678B3F8E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1078" w:type="dxa"/>
            <w:gridSpan w:val="3"/>
          </w:tcPr>
          <w:p w14:paraId="0812F5B8" w14:textId="77777777" w:rsidR="00A05500" w:rsidRPr="006D042F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50" w:type="dxa"/>
            <w:gridSpan w:val="6"/>
          </w:tcPr>
          <w:p w14:paraId="5A693B41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360" w:type="dxa"/>
            <w:shd w:val="clear" w:color="auto" w:fill="auto"/>
          </w:tcPr>
          <w:p w14:paraId="12131B49" w14:textId="77777777" w:rsidR="00A05500" w:rsidRPr="0031305D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14:paraId="020A7DDD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A05500" w14:paraId="7A0777CA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1078" w:type="dxa"/>
            <w:gridSpan w:val="3"/>
          </w:tcPr>
          <w:p w14:paraId="6412143C" w14:textId="77777777" w:rsidR="00A05500" w:rsidRPr="006D042F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50" w:type="dxa"/>
            <w:gridSpan w:val="6"/>
          </w:tcPr>
          <w:p w14:paraId="249F36FD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360" w:type="dxa"/>
            <w:shd w:val="clear" w:color="auto" w:fill="auto"/>
          </w:tcPr>
          <w:p w14:paraId="0B0D3EB0" w14:textId="77777777" w:rsidR="00A05500" w:rsidRPr="0031305D" w:rsidRDefault="00A05500" w:rsidP="00A055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14:paraId="162A90F3" w14:textId="77777777" w:rsidR="00A05500" w:rsidRDefault="00A05500" w:rsidP="00A055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A05500" w:rsidRPr="00F214EB" w14:paraId="4216238A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  <w:shd w:val="clear" w:color="auto" w:fill="D9D9D9"/>
          </w:tcPr>
          <w:p w14:paraId="0B8B8575" w14:textId="77777777" w:rsidR="00A05500" w:rsidRPr="00FF0B87" w:rsidRDefault="00A05500" w:rsidP="00A05500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028BA3C3" w14:textId="77777777" w:rsidR="00A05500" w:rsidRPr="00FF0B87" w:rsidRDefault="00A05500" w:rsidP="00A0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A05500" w14:paraId="4A8B6925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</w:tcPr>
          <w:p w14:paraId="665E4BB6" w14:textId="77777777" w:rsidR="00A05500" w:rsidRDefault="00A05500" w:rsidP="00A05500"/>
        </w:tc>
      </w:tr>
      <w:tr w:rsidR="00A05500" w14:paraId="79903D5D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  <w:shd w:val="clear" w:color="auto" w:fill="D9D9D9"/>
          </w:tcPr>
          <w:p w14:paraId="614D9D16" w14:textId="77777777" w:rsidR="00A05500" w:rsidRPr="00317307" w:rsidRDefault="00A05500" w:rsidP="00A05500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A05500" w14:paraId="65E3D1E6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250" w:type="dxa"/>
            <w:gridSpan w:val="14"/>
          </w:tcPr>
          <w:p w14:paraId="2D8F19F7" w14:textId="77777777" w:rsidR="00A05500" w:rsidRDefault="00A05500" w:rsidP="00A05500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A05500" w14:paraId="2402654D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500"/>
        </w:trPr>
        <w:tc>
          <w:tcPr>
            <w:tcW w:w="5220" w:type="dxa"/>
            <w:gridSpan w:val="7"/>
          </w:tcPr>
          <w:p w14:paraId="6FF85518" w14:textId="77777777" w:rsidR="00A05500" w:rsidRPr="00D154E8" w:rsidRDefault="00A05500" w:rsidP="00A0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24E5732E" w14:textId="77777777" w:rsidR="00A05500" w:rsidRPr="00D154E8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11807020" w14:textId="77777777" w:rsidR="00A05500" w:rsidRPr="00C430A2" w:rsidRDefault="00A05500" w:rsidP="00A055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075A28E3" w14:textId="77777777" w:rsidR="00A05500" w:rsidRPr="00D154E8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28DF34DA" w14:textId="77777777" w:rsidR="00A05500" w:rsidRPr="00C430A2" w:rsidRDefault="00A05500" w:rsidP="00A05500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070" w:type="dxa"/>
          </w:tcPr>
          <w:p w14:paraId="15FB655E" w14:textId="77777777" w:rsidR="00A05500" w:rsidRPr="00D154E8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686C7647" w14:textId="77777777" w:rsidR="00A05500" w:rsidRPr="00C430A2" w:rsidRDefault="00A05500" w:rsidP="00A055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A05500" w14:paraId="143EDE9E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0AF4F6D8" w14:textId="77777777" w:rsidR="00A05500" w:rsidRDefault="00A05500" w:rsidP="00A055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72AE74F6" w14:textId="77777777" w:rsidR="00A05500" w:rsidRPr="00D154E8" w:rsidRDefault="00A05500" w:rsidP="00A0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29C9FFEC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456BD2A2" w14:textId="77777777" w:rsidR="00A05500" w:rsidRPr="00F04B11" w:rsidRDefault="00A05500" w:rsidP="00A05500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070" w:type="dxa"/>
          </w:tcPr>
          <w:p w14:paraId="547C58C8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4166D8E2" w14:textId="77777777" w:rsidR="00A05500" w:rsidRPr="006A458F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B22FB" w14:textId="77777777" w:rsidR="00A05500" w:rsidRPr="006A458F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9B898" w14:textId="77777777" w:rsidR="00A05500" w:rsidRPr="006A458F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B8F03" w14:textId="77777777" w:rsidR="00A05500" w:rsidRPr="006A458F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A403A" w14:textId="77777777" w:rsidR="00A05500" w:rsidRPr="006A458F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500" w14:paraId="464F604C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4AEF1C4E" w14:textId="77777777" w:rsidR="00A05500" w:rsidRPr="00D154E8" w:rsidRDefault="00A05500" w:rsidP="00A0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521DAC0F" w14:textId="77777777" w:rsidR="00A05500" w:rsidRPr="00D154E8" w:rsidRDefault="00A05500" w:rsidP="00A05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Pr="00981204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981204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981204">
              <w:rPr>
                <w:rFonts w:ascii="Arial" w:hAnsi="Arial" w:cs="Arial"/>
                <w:bCs/>
                <w:sz w:val="16"/>
                <w:szCs w:val="16"/>
              </w:rPr>
              <w:t xml:space="preserve"> to 20 pounds maximum with frequent lifting and/or carrying of objects weighing up to 10 pounds. 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575E9F7A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6418F7F7" w14:textId="77777777" w:rsidR="00A05500" w:rsidRPr="00981204" w:rsidRDefault="00A05500" w:rsidP="00A05500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proofErr w:type="gramStart"/>
            <w:r w:rsidRPr="00F04B11">
              <w:rPr>
                <w:rFonts w:ascii="Arial" w:hAnsi="Arial" w:cs="Arial"/>
                <w:b/>
                <w:bCs/>
              </w:rPr>
              <w:t>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070" w:type="dxa"/>
          </w:tcPr>
          <w:p w14:paraId="2CEDA71B" w14:textId="77777777" w:rsidR="00A05500" w:rsidRDefault="00A05500" w:rsidP="00A05500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or constant push/pull of items of negligible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weight</w:t>
            </w:r>
            <w:proofErr w:type="gramEnd"/>
          </w:p>
          <w:p w14:paraId="3430919F" w14:textId="77777777" w:rsidR="00A05500" w:rsidRPr="00C430A2" w:rsidRDefault="00A05500" w:rsidP="00A05500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5500" w14:paraId="48EDC71E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6E2E0DC9" w14:textId="77777777" w:rsidR="00A05500" w:rsidRPr="00406596" w:rsidRDefault="00A05500" w:rsidP="00A055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77D3D17A" w14:textId="77777777" w:rsidR="00A05500" w:rsidRDefault="00A05500" w:rsidP="00A05500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14182019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7C940C69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070" w:type="dxa"/>
          </w:tcPr>
          <w:p w14:paraId="56AD143A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A05500" w14:paraId="2DC87CF0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64FC9FC4" w14:textId="77777777" w:rsidR="00A05500" w:rsidRPr="00406596" w:rsidRDefault="00A05500" w:rsidP="00A0550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4A8A0230" w14:textId="77777777" w:rsidR="00A05500" w:rsidRDefault="00A05500" w:rsidP="00A05500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2B82B911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51027B8B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070" w:type="dxa"/>
          </w:tcPr>
          <w:p w14:paraId="674A7071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A05500" w14:paraId="7EC0EF20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2"/>
            <w:shd w:val="clear" w:color="auto" w:fill="auto"/>
          </w:tcPr>
          <w:p w14:paraId="7F6DCD83" w14:textId="77777777" w:rsidR="00A05500" w:rsidRPr="00F04B11" w:rsidRDefault="00A05500" w:rsidP="00A055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327221FD" w14:textId="77777777" w:rsidR="00A05500" w:rsidRPr="00F04B11" w:rsidRDefault="00A05500" w:rsidP="00A055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5F8EA313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7E130AA2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070" w:type="dxa"/>
          </w:tcPr>
          <w:p w14:paraId="3B8BD6EC" w14:textId="77777777" w:rsidR="00A05500" w:rsidRPr="00F04B11" w:rsidRDefault="00A05500" w:rsidP="00A05500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A05500" w14:paraId="4052EE09" w14:textId="77777777" w:rsidTr="009A4203">
        <w:tblPrEx>
          <w:jc w:val="left"/>
          <w:tblInd w:w="-792" w:type="dxa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5220" w:type="dxa"/>
            <w:gridSpan w:val="7"/>
          </w:tcPr>
          <w:p w14:paraId="4AA2A532" w14:textId="77777777" w:rsidR="00A05500" w:rsidRPr="00D154E8" w:rsidRDefault="00A05500" w:rsidP="00A05500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030" w:type="dxa"/>
            <w:gridSpan w:val="7"/>
            <w:vAlign w:val="center"/>
          </w:tcPr>
          <w:p w14:paraId="5CA851B1" w14:textId="77777777" w:rsidR="00A05500" w:rsidRPr="00081756" w:rsidRDefault="00A05500" w:rsidP="00A05500">
            <w:pPr>
              <w:rPr>
                <w:rFonts w:ascii="Arial" w:hAnsi="Arial" w:cs="Arial"/>
                <w:bCs/>
              </w:rPr>
            </w:pPr>
          </w:p>
        </w:tc>
      </w:tr>
    </w:tbl>
    <w:p w14:paraId="488296FA" w14:textId="77777777" w:rsidR="00ED3D03" w:rsidRDefault="00ED3D03" w:rsidP="00ED3D03">
      <w:pPr>
        <w:tabs>
          <w:tab w:val="center" w:pos="5040"/>
          <w:tab w:val="left" w:pos="8100"/>
        </w:tabs>
      </w:pPr>
    </w:p>
    <w:p w14:paraId="54E6C824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3498E652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3950" w14:textId="77777777" w:rsidR="00D957DF" w:rsidRDefault="00D957DF">
      <w:r>
        <w:separator/>
      </w:r>
    </w:p>
  </w:endnote>
  <w:endnote w:type="continuationSeparator" w:id="0">
    <w:p w14:paraId="19C03C4D" w14:textId="77777777" w:rsidR="00D957DF" w:rsidRDefault="00D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9813" w14:textId="77777777" w:rsidR="00D957DF" w:rsidRDefault="00D957DF">
      <w:r>
        <w:separator/>
      </w:r>
    </w:p>
  </w:footnote>
  <w:footnote w:type="continuationSeparator" w:id="0">
    <w:p w14:paraId="0EDFD492" w14:textId="77777777" w:rsidR="00D957DF" w:rsidRDefault="00D9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99E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584"/>
    <w:multiLevelType w:val="hybridMultilevel"/>
    <w:tmpl w:val="96E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DED"/>
    <w:multiLevelType w:val="hybridMultilevel"/>
    <w:tmpl w:val="DE6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4BB"/>
    <w:multiLevelType w:val="hybridMultilevel"/>
    <w:tmpl w:val="4900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782"/>
    <w:multiLevelType w:val="hybridMultilevel"/>
    <w:tmpl w:val="74544A6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1666"/>
    <w:multiLevelType w:val="hybridMultilevel"/>
    <w:tmpl w:val="1DA4683E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8" w15:restartNumberingAfterBreak="0">
    <w:nsid w:val="251973FD"/>
    <w:multiLevelType w:val="multilevel"/>
    <w:tmpl w:val="1F7C2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76EE2"/>
    <w:multiLevelType w:val="hybridMultilevel"/>
    <w:tmpl w:val="24C60F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31F9"/>
    <w:multiLevelType w:val="hybridMultilevel"/>
    <w:tmpl w:val="995C07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750C"/>
    <w:multiLevelType w:val="multilevel"/>
    <w:tmpl w:val="29E2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593717"/>
    <w:multiLevelType w:val="hybridMultilevel"/>
    <w:tmpl w:val="6590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42C"/>
    <w:multiLevelType w:val="hybridMultilevel"/>
    <w:tmpl w:val="7FC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6AAF"/>
    <w:multiLevelType w:val="hybridMultilevel"/>
    <w:tmpl w:val="332EBF7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0DA"/>
    <w:multiLevelType w:val="hybridMultilevel"/>
    <w:tmpl w:val="4D38B4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240934">
    <w:abstractNumId w:val="19"/>
  </w:num>
  <w:num w:numId="2" w16cid:durableId="876546491">
    <w:abstractNumId w:val="18"/>
  </w:num>
  <w:num w:numId="3" w16cid:durableId="209609402">
    <w:abstractNumId w:val="2"/>
  </w:num>
  <w:num w:numId="4" w16cid:durableId="1346906910">
    <w:abstractNumId w:val="4"/>
  </w:num>
  <w:num w:numId="5" w16cid:durableId="1638141927">
    <w:abstractNumId w:val="9"/>
  </w:num>
  <w:num w:numId="6" w16cid:durableId="1405378255">
    <w:abstractNumId w:val="20"/>
  </w:num>
  <w:num w:numId="7" w16cid:durableId="1759785505">
    <w:abstractNumId w:val="6"/>
  </w:num>
  <w:num w:numId="8" w16cid:durableId="1634751559">
    <w:abstractNumId w:val="14"/>
  </w:num>
  <w:num w:numId="9" w16cid:durableId="1984307782">
    <w:abstractNumId w:val="15"/>
  </w:num>
  <w:num w:numId="10" w16cid:durableId="376970666">
    <w:abstractNumId w:val="5"/>
  </w:num>
  <w:num w:numId="11" w16cid:durableId="1215779236">
    <w:abstractNumId w:val="8"/>
  </w:num>
  <w:num w:numId="12" w16cid:durableId="1373000863">
    <w:abstractNumId w:val="12"/>
  </w:num>
  <w:num w:numId="13" w16cid:durableId="6340631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6531486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437890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5184346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67134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6030246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91949438">
    <w:abstractNumId w:val="21"/>
  </w:num>
  <w:num w:numId="20" w16cid:durableId="710375912">
    <w:abstractNumId w:val="1"/>
  </w:num>
  <w:num w:numId="21" w16cid:durableId="168444199">
    <w:abstractNumId w:val="7"/>
  </w:num>
  <w:num w:numId="22" w16cid:durableId="1206792160">
    <w:abstractNumId w:val="0"/>
  </w:num>
  <w:num w:numId="23" w16cid:durableId="166357977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4EBA"/>
    <w:rsid w:val="000652B3"/>
    <w:rsid w:val="0007296D"/>
    <w:rsid w:val="00072AC4"/>
    <w:rsid w:val="000731DE"/>
    <w:rsid w:val="00073F40"/>
    <w:rsid w:val="000766EF"/>
    <w:rsid w:val="000817CD"/>
    <w:rsid w:val="00096A00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0C"/>
    <w:rsid w:val="000F3F9F"/>
    <w:rsid w:val="000F720C"/>
    <w:rsid w:val="001151E5"/>
    <w:rsid w:val="00117367"/>
    <w:rsid w:val="0011789B"/>
    <w:rsid w:val="001229A7"/>
    <w:rsid w:val="00130930"/>
    <w:rsid w:val="00144450"/>
    <w:rsid w:val="00147903"/>
    <w:rsid w:val="001531AD"/>
    <w:rsid w:val="001627D3"/>
    <w:rsid w:val="00167314"/>
    <w:rsid w:val="00175DD8"/>
    <w:rsid w:val="00191661"/>
    <w:rsid w:val="0019225A"/>
    <w:rsid w:val="001952A1"/>
    <w:rsid w:val="001A1CB2"/>
    <w:rsid w:val="001C3CA4"/>
    <w:rsid w:val="001C63B2"/>
    <w:rsid w:val="001C786C"/>
    <w:rsid w:val="001C7DA2"/>
    <w:rsid w:val="001E1AB9"/>
    <w:rsid w:val="00200531"/>
    <w:rsid w:val="002009A3"/>
    <w:rsid w:val="00204373"/>
    <w:rsid w:val="00205C6C"/>
    <w:rsid w:val="00215571"/>
    <w:rsid w:val="00236319"/>
    <w:rsid w:val="00237B2A"/>
    <w:rsid w:val="0024062E"/>
    <w:rsid w:val="002449B2"/>
    <w:rsid w:val="002501FE"/>
    <w:rsid w:val="00257F8C"/>
    <w:rsid w:val="00263BB8"/>
    <w:rsid w:val="0028360E"/>
    <w:rsid w:val="002976B8"/>
    <w:rsid w:val="002A55AD"/>
    <w:rsid w:val="002A5DCA"/>
    <w:rsid w:val="002A73F7"/>
    <w:rsid w:val="002B2B32"/>
    <w:rsid w:val="002B4395"/>
    <w:rsid w:val="002C07FF"/>
    <w:rsid w:val="002C4885"/>
    <w:rsid w:val="002C4C85"/>
    <w:rsid w:val="002E4C40"/>
    <w:rsid w:val="003037C9"/>
    <w:rsid w:val="003037FD"/>
    <w:rsid w:val="00303EE0"/>
    <w:rsid w:val="003143AA"/>
    <w:rsid w:val="003157EF"/>
    <w:rsid w:val="00317307"/>
    <w:rsid w:val="00327E16"/>
    <w:rsid w:val="0034504E"/>
    <w:rsid w:val="003513CD"/>
    <w:rsid w:val="00353A35"/>
    <w:rsid w:val="003569E0"/>
    <w:rsid w:val="00367923"/>
    <w:rsid w:val="00382147"/>
    <w:rsid w:val="003829DD"/>
    <w:rsid w:val="00394C6A"/>
    <w:rsid w:val="003A4787"/>
    <w:rsid w:val="003B7BAC"/>
    <w:rsid w:val="003C7062"/>
    <w:rsid w:val="003D7AAF"/>
    <w:rsid w:val="00401A39"/>
    <w:rsid w:val="00401A81"/>
    <w:rsid w:val="004031ED"/>
    <w:rsid w:val="0041258D"/>
    <w:rsid w:val="00420CEE"/>
    <w:rsid w:val="004442F8"/>
    <w:rsid w:val="004714D1"/>
    <w:rsid w:val="00472125"/>
    <w:rsid w:val="004746C9"/>
    <w:rsid w:val="00482BAF"/>
    <w:rsid w:val="00492509"/>
    <w:rsid w:val="004B21CE"/>
    <w:rsid w:val="004B5D03"/>
    <w:rsid w:val="004C0247"/>
    <w:rsid w:val="004C422E"/>
    <w:rsid w:val="004C636E"/>
    <w:rsid w:val="004D0526"/>
    <w:rsid w:val="004D6F76"/>
    <w:rsid w:val="004F1EEE"/>
    <w:rsid w:val="004F7689"/>
    <w:rsid w:val="0050096C"/>
    <w:rsid w:val="00500AB4"/>
    <w:rsid w:val="00510BD3"/>
    <w:rsid w:val="005146CC"/>
    <w:rsid w:val="00515FAF"/>
    <w:rsid w:val="0052072C"/>
    <w:rsid w:val="00527430"/>
    <w:rsid w:val="00527A49"/>
    <w:rsid w:val="00530F49"/>
    <w:rsid w:val="0054324E"/>
    <w:rsid w:val="00545F1C"/>
    <w:rsid w:val="00553B4C"/>
    <w:rsid w:val="005540C8"/>
    <w:rsid w:val="00554220"/>
    <w:rsid w:val="00561F32"/>
    <w:rsid w:val="00562A5A"/>
    <w:rsid w:val="00583600"/>
    <w:rsid w:val="00590047"/>
    <w:rsid w:val="005A27A7"/>
    <w:rsid w:val="005A67D1"/>
    <w:rsid w:val="005A6848"/>
    <w:rsid w:val="005B30FE"/>
    <w:rsid w:val="005C186E"/>
    <w:rsid w:val="005E0CF5"/>
    <w:rsid w:val="005E2CB0"/>
    <w:rsid w:val="005E6A45"/>
    <w:rsid w:val="005F1361"/>
    <w:rsid w:val="005F2021"/>
    <w:rsid w:val="005F3BAF"/>
    <w:rsid w:val="00604FD6"/>
    <w:rsid w:val="00606B8B"/>
    <w:rsid w:val="00616488"/>
    <w:rsid w:val="006372A2"/>
    <w:rsid w:val="006405EB"/>
    <w:rsid w:val="00643ECE"/>
    <w:rsid w:val="00654124"/>
    <w:rsid w:val="00655A5C"/>
    <w:rsid w:val="00656FF5"/>
    <w:rsid w:val="00660B39"/>
    <w:rsid w:val="0066779B"/>
    <w:rsid w:val="00681F15"/>
    <w:rsid w:val="00682BE4"/>
    <w:rsid w:val="0068592C"/>
    <w:rsid w:val="006A6757"/>
    <w:rsid w:val="006B2871"/>
    <w:rsid w:val="006C4D5D"/>
    <w:rsid w:val="006D1A19"/>
    <w:rsid w:val="006D2CA9"/>
    <w:rsid w:val="006E1258"/>
    <w:rsid w:val="006E213D"/>
    <w:rsid w:val="006E29F6"/>
    <w:rsid w:val="006F5ADF"/>
    <w:rsid w:val="007022A6"/>
    <w:rsid w:val="00702EE4"/>
    <w:rsid w:val="007108F9"/>
    <w:rsid w:val="0071171A"/>
    <w:rsid w:val="00722D28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A27E1"/>
    <w:rsid w:val="007B3D23"/>
    <w:rsid w:val="007B4E52"/>
    <w:rsid w:val="007B639B"/>
    <w:rsid w:val="007C313F"/>
    <w:rsid w:val="007D2C5D"/>
    <w:rsid w:val="007D3F75"/>
    <w:rsid w:val="007F0A55"/>
    <w:rsid w:val="007F7A93"/>
    <w:rsid w:val="00811BA0"/>
    <w:rsid w:val="008135BD"/>
    <w:rsid w:val="00816C1F"/>
    <w:rsid w:val="0082562E"/>
    <w:rsid w:val="008345CB"/>
    <w:rsid w:val="00854C98"/>
    <w:rsid w:val="00871A84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E3AB1"/>
    <w:rsid w:val="00900AF4"/>
    <w:rsid w:val="00904FB2"/>
    <w:rsid w:val="009264A8"/>
    <w:rsid w:val="009278F2"/>
    <w:rsid w:val="0093734D"/>
    <w:rsid w:val="00946AA1"/>
    <w:rsid w:val="00973A07"/>
    <w:rsid w:val="00981204"/>
    <w:rsid w:val="009821A5"/>
    <w:rsid w:val="00985E48"/>
    <w:rsid w:val="00997B71"/>
    <w:rsid w:val="009A4203"/>
    <w:rsid w:val="009B09B2"/>
    <w:rsid w:val="009B3821"/>
    <w:rsid w:val="009B4CC8"/>
    <w:rsid w:val="009B4D36"/>
    <w:rsid w:val="009C49E4"/>
    <w:rsid w:val="009C5437"/>
    <w:rsid w:val="009C78C8"/>
    <w:rsid w:val="009D7854"/>
    <w:rsid w:val="009F317E"/>
    <w:rsid w:val="009F45F1"/>
    <w:rsid w:val="00A02E91"/>
    <w:rsid w:val="00A04E77"/>
    <w:rsid w:val="00A05500"/>
    <w:rsid w:val="00A21283"/>
    <w:rsid w:val="00A21EDF"/>
    <w:rsid w:val="00A42415"/>
    <w:rsid w:val="00A5465B"/>
    <w:rsid w:val="00A70C09"/>
    <w:rsid w:val="00A76EE1"/>
    <w:rsid w:val="00A77370"/>
    <w:rsid w:val="00AA223A"/>
    <w:rsid w:val="00AA30B0"/>
    <w:rsid w:val="00AA5B8B"/>
    <w:rsid w:val="00AB57D2"/>
    <w:rsid w:val="00AC11CB"/>
    <w:rsid w:val="00AC3752"/>
    <w:rsid w:val="00AC44C7"/>
    <w:rsid w:val="00AC7260"/>
    <w:rsid w:val="00AC7B74"/>
    <w:rsid w:val="00AE0082"/>
    <w:rsid w:val="00AE5302"/>
    <w:rsid w:val="00AE6894"/>
    <w:rsid w:val="00AF0242"/>
    <w:rsid w:val="00B02541"/>
    <w:rsid w:val="00B056F0"/>
    <w:rsid w:val="00B2448E"/>
    <w:rsid w:val="00B3293D"/>
    <w:rsid w:val="00B44585"/>
    <w:rsid w:val="00B518AE"/>
    <w:rsid w:val="00B549F7"/>
    <w:rsid w:val="00B5724E"/>
    <w:rsid w:val="00B61832"/>
    <w:rsid w:val="00B7319A"/>
    <w:rsid w:val="00B84593"/>
    <w:rsid w:val="00BA44ED"/>
    <w:rsid w:val="00BB1D12"/>
    <w:rsid w:val="00BC244B"/>
    <w:rsid w:val="00BD73DE"/>
    <w:rsid w:val="00C15D22"/>
    <w:rsid w:val="00C17973"/>
    <w:rsid w:val="00C333F7"/>
    <w:rsid w:val="00C37E6C"/>
    <w:rsid w:val="00C40E80"/>
    <w:rsid w:val="00C42A33"/>
    <w:rsid w:val="00C430A2"/>
    <w:rsid w:val="00C4683E"/>
    <w:rsid w:val="00C704F7"/>
    <w:rsid w:val="00C72317"/>
    <w:rsid w:val="00C86A31"/>
    <w:rsid w:val="00C8794F"/>
    <w:rsid w:val="00C95B7D"/>
    <w:rsid w:val="00CA11B0"/>
    <w:rsid w:val="00CB04C1"/>
    <w:rsid w:val="00CC499E"/>
    <w:rsid w:val="00CC5AFB"/>
    <w:rsid w:val="00CD1C28"/>
    <w:rsid w:val="00CD281B"/>
    <w:rsid w:val="00CE134D"/>
    <w:rsid w:val="00CF124B"/>
    <w:rsid w:val="00D154E8"/>
    <w:rsid w:val="00D162D9"/>
    <w:rsid w:val="00D2296A"/>
    <w:rsid w:val="00D271C1"/>
    <w:rsid w:val="00D46605"/>
    <w:rsid w:val="00D566A2"/>
    <w:rsid w:val="00D5690F"/>
    <w:rsid w:val="00D63B70"/>
    <w:rsid w:val="00D705BC"/>
    <w:rsid w:val="00D75139"/>
    <w:rsid w:val="00D943DA"/>
    <w:rsid w:val="00D957DF"/>
    <w:rsid w:val="00D9594B"/>
    <w:rsid w:val="00DA7F0D"/>
    <w:rsid w:val="00DB7518"/>
    <w:rsid w:val="00DC7AE1"/>
    <w:rsid w:val="00DD189B"/>
    <w:rsid w:val="00DE706E"/>
    <w:rsid w:val="00E00C8B"/>
    <w:rsid w:val="00E0375D"/>
    <w:rsid w:val="00E15C70"/>
    <w:rsid w:val="00E35DEE"/>
    <w:rsid w:val="00E41B5E"/>
    <w:rsid w:val="00E51D5F"/>
    <w:rsid w:val="00E60B5A"/>
    <w:rsid w:val="00E61151"/>
    <w:rsid w:val="00E61257"/>
    <w:rsid w:val="00E6616C"/>
    <w:rsid w:val="00E66876"/>
    <w:rsid w:val="00E67C47"/>
    <w:rsid w:val="00E73420"/>
    <w:rsid w:val="00E837A7"/>
    <w:rsid w:val="00E958CD"/>
    <w:rsid w:val="00EA5845"/>
    <w:rsid w:val="00EB4063"/>
    <w:rsid w:val="00ED371F"/>
    <w:rsid w:val="00ED3D03"/>
    <w:rsid w:val="00ED581F"/>
    <w:rsid w:val="00ED72D2"/>
    <w:rsid w:val="00EE4F9E"/>
    <w:rsid w:val="00EF1B60"/>
    <w:rsid w:val="00EF648E"/>
    <w:rsid w:val="00F0494F"/>
    <w:rsid w:val="00F04B11"/>
    <w:rsid w:val="00F05BCB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6770E"/>
    <w:rsid w:val="00F72A7B"/>
    <w:rsid w:val="00F73689"/>
    <w:rsid w:val="00F841B3"/>
    <w:rsid w:val="00F91C42"/>
    <w:rsid w:val="00FA1775"/>
    <w:rsid w:val="00FB0482"/>
    <w:rsid w:val="00FB14B0"/>
    <w:rsid w:val="00FB79D9"/>
    <w:rsid w:val="00FC15BA"/>
    <w:rsid w:val="00FC4358"/>
    <w:rsid w:val="00FC4EA5"/>
    <w:rsid w:val="00FD0D34"/>
    <w:rsid w:val="00FD4037"/>
    <w:rsid w:val="00FD7D9C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93140AC"/>
  <w15:chartTrackingRefBased/>
  <w15:docId w15:val="{00D130B7-ADE0-4989-A454-B27D337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2</cp:revision>
  <cp:lastPrinted>2017-10-30T14:47:00Z</cp:lastPrinted>
  <dcterms:created xsi:type="dcterms:W3CDTF">2024-01-10T22:53:00Z</dcterms:created>
  <dcterms:modified xsi:type="dcterms:W3CDTF">2024-01-10T22:53:00Z</dcterms:modified>
</cp:coreProperties>
</file>